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8CDA" w14:textId="6051A883" w:rsidR="00A9204E" w:rsidRPr="00D22F5E" w:rsidRDefault="00D22F5E">
      <w:pPr>
        <w:rPr>
          <w:b/>
          <w:bCs/>
          <w:sz w:val="32"/>
          <w:szCs w:val="32"/>
        </w:rPr>
      </w:pPr>
      <w:r w:rsidRPr="00D22F5E">
        <w:rPr>
          <w:b/>
          <w:bCs/>
          <w:sz w:val="32"/>
          <w:szCs w:val="32"/>
        </w:rPr>
        <w:t>MEMORANDUM</w:t>
      </w:r>
    </w:p>
    <w:p w14:paraId="37BA848E" w14:textId="2BD3E369" w:rsidR="00D22F5E" w:rsidRDefault="00D22F5E"/>
    <w:p w14:paraId="7AC7F72D" w14:textId="77777777" w:rsidR="00B00963" w:rsidRDefault="00B00963"/>
    <w:p w14:paraId="75802899" w14:textId="41E9F7C4" w:rsidR="00D22F5E" w:rsidRDefault="00D22F5E">
      <w:r>
        <w:t>D</w:t>
      </w:r>
      <w:r w:rsidR="00B00963">
        <w:t>ATE</w:t>
      </w:r>
      <w:r>
        <w:t>:</w:t>
      </w:r>
      <w:r>
        <w:tab/>
        <w:t>9/16/22</w:t>
      </w:r>
    </w:p>
    <w:p w14:paraId="1EDDDCB5" w14:textId="77777777" w:rsidR="00B00963" w:rsidRDefault="00B00963"/>
    <w:p w14:paraId="05367618" w14:textId="16685AFC" w:rsidR="00D22F5E" w:rsidRDefault="00B00963">
      <w:r>
        <w:t>TO</w:t>
      </w:r>
      <w:r w:rsidR="00D22F5E">
        <w:t>:</w:t>
      </w:r>
      <w:r w:rsidR="00D22F5E">
        <w:tab/>
        <w:t>CT Evaluation Committee, Utilities, Technical Consultants</w:t>
      </w:r>
    </w:p>
    <w:p w14:paraId="120657DC" w14:textId="77777777" w:rsidR="00B00963" w:rsidRDefault="00B00963"/>
    <w:p w14:paraId="5BF4AE6A" w14:textId="098EB75E" w:rsidR="00D22F5E" w:rsidRDefault="00D22F5E">
      <w:r>
        <w:t>F</w:t>
      </w:r>
      <w:r w:rsidR="00B00963">
        <w:t>ROM</w:t>
      </w:r>
      <w:r>
        <w:t>:</w:t>
      </w:r>
      <w:r>
        <w:tab/>
        <w:t>EA Tea</w:t>
      </w:r>
      <w:r w:rsidR="00B00963">
        <w:t>m</w:t>
      </w:r>
    </w:p>
    <w:p w14:paraId="03AEA1AD" w14:textId="77777777" w:rsidR="00B00963" w:rsidRDefault="00B00963"/>
    <w:p w14:paraId="60EAFFD8" w14:textId="77506B78" w:rsidR="00D22F5E" w:rsidRDefault="00B71CC9">
      <w:r>
        <w:t>RE</w:t>
      </w:r>
      <w:r w:rsidR="00D22F5E">
        <w:t>:</w:t>
      </w:r>
      <w:r w:rsidR="00072B46">
        <w:tab/>
        <w:t xml:space="preserve"> Summary</w:t>
      </w:r>
      <w:r w:rsidR="00D22F5E">
        <w:t xml:space="preserve"> of </w:t>
      </w:r>
      <w:r w:rsidR="00B00963">
        <w:t>A</w:t>
      </w:r>
      <w:r w:rsidR="00D22F5E">
        <w:t xml:space="preserve">dditional Gross Savings </w:t>
      </w:r>
      <w:r w:rsidR="00B00963">
        <w:t>R</w:t>
      </w:r>
      <w:r w:rsidR="00D22F5E">
        <w:t>esults from NMR for HES &amp; HES-IE Results (R1983)</w:t>
      </w:r>
    </w:p>
    <w:p w14:paraId="1FAF42EB" w14:textId="5D7D0BF0" w:rsidR="00D22F5E" w:rsidRDefault="00D22F5E"/>
    <w:p w14:paraId="213FE8D4" w14:textId="77777777" w:rsidR="00B00963" w:rsidRDefault="00B00963"/>
    <w:p w14:paraId="1E522037" w14:textId="7BBC23CD" w:rsidR="00D22F5E" w:rsidRDefault="00D22F5E">
      <w:r>
        <w:t xml:space="preserve">It has come to my attention that any additional </w:t>
      </w:r>
      <w:r w:rsidR="00072B46">
        <w:t>results</w:t>
      </w:r>
      <w:r>
        <w:t xml:space="preserve"> that are avai</w:t>
      </w:r>
      <w:r w:rsidR="00072B46">
        <w:t>la</w:t>
      </w:r>
      <w:r>
        <w:t>ble from the R1983 report are d</w:t>
      </w:r>
      <w:r w:rsidR="00072B46">
        <w:t>esirable</w:t>
      </w:r>
      <w:r>
        <w:t xml:space="preserve">, even though they are not necessarily </w:t>
      </w:r>
      <w:r w:rsidR="00072B46">
        <w:t>expected</w:t>
      </w:r>
      <w:r>
        <w:t xml:space="preserve"> to be integrated into </w:t>
      </w:r>
      <w:r w:rsidR="00072B46">
        <w:t>the</w:t>
      </w:r>
      <w:r>
        <w:t xml:space="preserve"> PSD update at this time.</w:t>
      </w:r>
      <w:r w:rsidR="00740D79">
        <w:t xml:space="preserve">  We understand </w:t>
      </w:r>
      <w:r w:rsidR="00072B46">
        <w:t>these</w:t>
      </w:r>
      <w:r w:rsidR="00740D79">
        <w:t xml:space="preserve"> </w:t>
      </w:r>
      <w:r w:rsidR="00072B46">
        <w:t>results</w:t>
      </w:r>
      <w:r w:rsidR="00740D79">
        <w:t xml:space="preserve"> may be </w:t>
      </w:r>
      <w:r w:rsidR="00072B46">
        <w:t>useful</w:t>
      </w:r>
      <w:r w:rsidR="00740D79">
        <w:t xml:space="preserve"> for measure priorities / mix, program, and cost analyses for the filing.</w:t>
      </w:r>
    </w:p>
    <w:p w14:paraId="37853990" w14:textId="0CFE112C" w:rsidR="00740D79" w:rsidRDefault="00740D79"/>
    <w:p w14:paraId="1E0EC7C6" w14:textId="12FABD4D" w:rsidR="0038228B" w:rsidRDefault="00740D79">
      <w:r>
        <w:t xml:space="preserve">A </w:t>
      </w:r>
      <w:r w:rsidR="00072B46">
        <w:t>detailed</w:t>
      </w:r>
      <w:r>
        <w:t xml:space="preserve"> table</w:t>
      </w:r>
      <w:r w:rsidR="007D1230">
        <w:t xml:space="preserve">, </w:t>
      </w:r>
      <w:r>
        <w:t xml:space="preserve">Figure </w:t>
      </w:r>
      <w:r w:rsidR="008C28DB">
        <w:t>4</w:t>
      </w:r>
      <w:r>
        <w:t>,</w:t>
      </w:r>
      <w:r w:rsidR="007D1230">
        <w:t xml:space="preserve"> provided at the end of the memo</w:t>
      </w:r>
      <w:r>
        <w:t xml:space="preserve"> savings</w:t>
      </w:r>
      <w:r w:rsidR="00CD189A">
        <w:t xml:space="preserve"> for the complete set of HES &amp; HES-IE measures</w:t>
      </w:r>
      <w:r>
        <w:t xml:space="preserve">.  A few </w:t>
      </w:r>
      <w:proofErr w:type="gramStart"/>
      <w:r w:rsidR="00072B46">
        <w:t>measures</w:t>
      </w:r>
      <w:r>
        <w:t xml:space="preserve"> </w:t>
      </w:r>
      <w:r w:rsidR="009C4024">
        <w:t xml:space="preserve"> (</w:t>
      </w:r>
      <w:proofErr w:type="gramEnd"/>
      <w:r w:rsidR="009C4024">
        <w:t xml:space="preserve">which are also in Figure 4) </w:t>
      </w:r>
      <w:r>
        <w:t xml:space="preserve">are called out on this page as well.  A few of these </w:t>
      </w:r>
      <w:r w:rsidR="00072B46">
        <w:t>highlights</w:t>
      </w:r>
      <w:r>
        <w:t xml:space="preserve"> were also </w:t>
      </w:r>
      <w:r w:rsidR="00072B46">
        <w:t>mentioned</w:t>
      </w:r>
      <w:r>
        <w:t xml:space="preserve"> very briefly in the HES&amp;IE planning </w:t>
      </w:r>
      <w:r w:rsidR="00072B46">
        <w:t>meeting</w:t>
      </w:r>
      <w:r>
        <w:t xml:space="preserve"> last week. </w:t>
      </w:r>
      <w:r w:rsidR="0038228B">
        <w:t xml:space="preserve"> You may </w:t>
      </w:r>
      <w:r w:rsidR="00072B46">
        <w:t>recall</w:t>
      </w:r>
      <w:r w:rsidR="0038228B">
        <w:t xml:space="preserve"> from this discussion that the “looking forward” / prospective savings are expected to move in a </w:t>
      </w:r>
      <w:r w:rsidR="00072B46">
        <w:t>downward direction</w:t>
      </w:r>
      <w:r w:rsidR="0038228B">
        <w:t xml:space="preserve"> </w:t>
      </w:r>
      <w:r w:rsidR="00072B46">
        <w:t>(all else being equal)</w:t>
      </w:r>
      <w:r w:rsidR="0038228B">
        <w:t xml:space="preserve">, </w:t>
      </w:r>
      <w:r w:rsidR="00072B46">
        <w:t>because</w:t>
      </w:r>
      <w:r w:rsidR="0038228B">
        <w:t xml:space="preserve"> of </w:t>
      </w:r>
      <w:r w:rsidR="00072B46">
        <w:t>trends</w:t>
      </w:r>
      <w:r w:rsidR="0038228B">
        <w:t xml:space="preserve"> of lower pre-</w:t>
      </w:r>
      <w:r w:rsidR="00072B46">
        <w:t>participation</w:t>
      </w:r>
      <w:r w:rsidR="0038228B">
        <w:t xml:space="preserve"> consumption in new </w:t>
      </w:r>
      <w:r w:rsidR="00072B46">
        <w:t>cohorts</w:t>
      </w:r>
      <w:r w:rsidR="0038228B">
        <w:t xml:space="preserve"> of </w:t>
      </w:r>
      <w:r w:rsidR="00072B46">
        <w:t>participants</w:t>
      </w:r>
      <w:r w:rsidR="008C28DB">
        <w:t xml:space="preserve"> (Figure 2)</w:t>
      </w:r>
      <w:r w:rsidR="0038228B">
        <w:t xml:space="preserve">. </w:t>
      </w:r>
    </w:p>
    <w:p w14:paraId="3EF22B86" w14:textId="77777777" w:rsidR="0038228B" w:rsidRDefault="0038228B"/>
    <w:p w14:paraId="09E57FE2" w14:textId="550EC5A0" w:rsidR="00740D79" w:rsidRDefault="00740D79">
      <w:r>
        <w:t xml:space="preserve"> </w:t>
      </w:r>
      <w:r w:rsidR="00B00963">
        <w:t xml:space="preserve">“Granular” </w:t>
      </w:r>
      <w:r w:rsidR="00072B46">
        <w:t>results</w:t>
      </w:r>
      <w:r w:rsidR="00B00963">
        <w:t xml:space="preserve"> are not yet available.  We anticipate a draft report to the EA team in mid-October.  NMR reports usually do not need a signif</w:t>
      </w:r>
      <w:r w:rsidR="00072B46">
        <w:t>ic</w:t>
      </w:r>
      <w:r w:rsidR="00B00963">
        <w:t>ant amount of editing pr</w:t>
      </w:r>
      <w:r w:rsidR="00072B46">
        <w:t>ior</w:t>
      </w:r>
      <w:r w:rsidR="00B00963">
        <w:t xml:space="preserve"> to review by the Committee.  We will do what we can to </w:t>
      </w:r>
      <w:r w:rsidR="00072B46">
        <w:t>provide</w:t>
      </w:r>
      <w:r w:rsidR="00B00963">
        <w:t xml:space="preserve"> </w:t>
      </w:r>
      <w:r w:rsidR="00072B46">
        <w:t>information</w:t>
      </w:r>
      <w:r w:rsidR="00B00963">
        <w:t xml:space="preserve"> in a </w:t>
      </w:r>
      <w:r w:rsidR="00072B46">
        <w:t>timely</w:t>
      </w:r>
      <w:r w:rsidR="00B00963">
        <w:t xml:space="preserve"> manner.  Pl</w:t>
      </w:r>
      <w:r w:rsidR="00072B46">
        <w:t>ease</w:t>
      </w:r>
      <w:r w:rsidR="00B00963">
        <w:t xml:space="preserve"> feel </w:t>
      </w:r>
      <w:r w:rsidR="00072B46">
        <w:t>free</w:t>
      </w:r>
      <w:r w:rsidR="00B00963">
        <w:t xml:space="preserve"> to forward any questions.</w:t>
      </w:r>
    </w:p>
    <w:p w14:paraId="43E81062" w14:textId="77777777" w:rsidR="00B00963" w:rsidRDefault="00B00963"/>
    <w:p w14:paraId="7EE881D3" w14:textId="29BF064F" w:rsidR="00D22F5E" w:rsidRDefault="00B00963">
      <w:r>
        <w:t xml:space="preserve">Figure 1:  </w:t>
      </w:r>
      <w:r w:rsidR="0038228B">
        <w:t>Air S</w:t>
      </w:r>
      <w:r w:rsidR="00072B46">
        <w:t>e</w:t>
      </w:r>
      <w:r w:rsidR="0038228B">
        <w:t>al</w:t>
      </w:r>
      <w:r w:rsidR="00072B46">
        <w:t>i</w:t>
      </w:r>
      <w:r w:rsidR="0038228B">
        <w:t>ng</w:t>
      </w:r>
      <w:r w:rsidR="00E3517A">
        <w:t xml:space="preserve"> and Insulation</w:t>
      </w:r>
      <w:r w:rsidR="0038228B">
        <w:t xml:space="preserve"> Results – </w:t>
      </w:r>
      <w:r w:rsidR="00072B46">
        <w:t>Evaluated</w:t>
      </w:r>
      <w:r w:rsidR="0038228B">
        <w:t xml:space="preserve"> Statewide N</w:t>
      </w:r>
      <w:r w:rsidR="00750C58">
        <w:t xml:space="preserve">atural </w:t>
      </w:r>
      <w:r w:rsidR="0038228B">
        <w:t>G</w:t>
      </w:r>
      <w:r w:rsidR="00750C58">
        <w:t>as</w:t>
      </w:r>
      <w:r w:rsidR="0038228B">
        <w:t xml:space="preserve"> Weatherization Savings (therms/yr</w:t>
      </w:r>
      <w:r w:rsidR="00C22D8A">
        <w:rPr>
          <w:rStyle w:val="FootnoteReference"/>
        </w:rPr>
        <w:footnoteReference w:id="1"/>
      </w:r>
      <w:r w:rsidR="0038228B">
        <w:t xml:space="preserve">) </w:t>
      </w:r>
      <w:r w:rsidR="00072B46">
        <w:t xml:space="preserve">for </w:t>
      </w:r>
      <w:r w:rsidR="0038228B">
        <w:t xml:space="preserve">2019 </w:t>
      </w:r>
      <w:r w:rsidR="00072B46">
        <w:t>participants</w:t>
      </w:r>
      <w:r w:rsidR="0038228B">
        <w:t xml:space="preserve"> – </w:t>
      </w:r>
      <w:r w:rsidR="00072B46">
        <w:t>lower</w:t>
      </w:r>
      <w:r w:rsidR="0038228B">
        <w:t xml:space="preserve"> values</w:t>
      </w:r>
    </w:p>
    <w:p w14:paraId="3F53D2B6" w14:textId="6F19A0C0" w:rsidR="00B00963" w:rsidRDefault="0038228B">
      <w:r w:rsidRPr="0038228B">
        <w:rPr>
          <w:noProof/>
        </w:rPr>
        <w:drawing>
          <wp:inline distT="0" distB="0" distL="0" distR="0" wp14:anchorId="22FFF2A2" wp14:editId="23C06475">
            <wp:extent cx="5225140" cy="1524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606" cy="152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92C84" w14:textId="673C8978" w:rsidR="008C28DB" w:rsidRDefault="008C28DB" w:rsidP="008C28DB"/>
    <w:p w14:paraId="1D3A451E" w14:textId="6CE62639" w:rsidR="008C28DB" w:rsidRDefault="00072B46" w:rsidP="008C28DB">
      <w:r>
        <w:t>Figure</w:t>
      </w:r>
      <w:r w:rsidR="008C28DB">
        <w:t xml:space="preserve"> 2:  Trends in </w:t>
      </w:r>
      <w:r>
        <w:t>lower</w:t>
      </w:r>
      <w:r w:rsidR="008C28DB">
        <w:t xml:space="preserve"> pre-participation consumption by cohorts across a consistent year (2017) </w:t>
      </w:r>
    </w:p>
    <w:tbl>
      <w:tblPr>
        <w:tblW w:w="91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60"/>
        <w:gridCol w:w="3060"/>
        <w:gridCol w:w="3060"/>
      </w:tblGrid>
      <w:tr w:rsidR="008C28DB" w:rsidRPr="008C28DB" w14:paraId="6EF4EE8E" w14:textId="77777777" w:rsidTr="00AA092A">
        <w:trPr>
          <w:trHeight w:val="241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7A55E1" w14:textId="77777777" w:rsidR="008C28DB" w:rsidRPr="008C28DB" w:rsidRDefault="008C28DB" w:rsidP="00AA092A">
            <w:pPr>
              <w:rPr>
                <w:sz w:val="20"/>
                <w:szCs w:val="20"/>
              </w:rPr>
            </w:pPr>
            <w:r w:rsidRPr="008C28DB">
              <w:rPr>
                <w:b/>
                <w:bCs/>
                <w:sz w:val="20"/>
                <w:szCs w:val="20"/>
              </w:rPr>
              <w:t>2018 participants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D8B9A" w14:textId="77777777" w:rsidR="008C28DB" w:rsidRPr="008C28DB" w:rsidRDefault="008C28DB" w:rsidP="00AA092A">
            <w:pPr>
              <w:rPr>
                <w:sz w:val="20"/>
                <w:szCs w:val="20"/>
              </w:rPr>
            </w:pPr>
            <w:r w:rsidRPr="008C28DB">
              <w:rPr>
                <w:b/>
                <w:bCs/>
                <w:sz w:val="20"/>
                <w:szCs w:val="20"/>
              </w:rPr>
              <w:t>2019 participants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217E3F" w14:textId="77777777" w:rsidR="008C28DB" w:rsidRPr="008C28DB" w:rsidRDefault="008C28DB" w:rsidP="00AA092A">
            <w:pPr>
              <w:rPr>
                <w:sz w:val="20"/>
                <w:szCs w:val="20"/>
              </w:rPr>
            </w:pPr>
            <w:r w:rsidRPr="008C28DB">
              <w:rPr>
                <w:b/>
                <w:bCs/>
                <w:sz w:val="20"/>
                <w:szCs w:val="20"/>
              </w:rPr>
              <w:t>2020 participants</w:t>
            </w:r>
          </w:p>
        </w:tc>
      </w:tr>
      <w:tr w:rsidR="008C28DB" w:rsidRPr="008C28DB" w14:paraId="426F0012" w14:textId="77777777" w:rsidTr="00AA092A">
        <w:trPr>
          <w:trHeight w:val="282"/>
        </w:trPr>
        <w:tc>
          <w:tcPr>
            <w:tcW w:w="3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0BC37" w14:textId="77777777" w:rsidR="008C28DB" w:rsidRPr="008C28DB" w:rsidRDefault="008C28DB" w:rsidP="00AA092A">
            <w:pPr>
              <w:rPr>
                <w:sz w:val="20"/>
                <w:szCs w:val="20"/>
              </w:rPr>
            </w:pPr>
            <w:r w:rsidRPr="008C28DB">
              <w:rPr>
                <w:sz w:val="20"/>
                <w:szCs w:val="20"/>
              </w:rPr>
              <w:lastRenderedPageBreak/>
              <w:t>1,033 therms</w:t>
            </w:r>
          </w:p>
        </w:tc>
        <w:tc>
          <w:tcPr>
            <w:tcW w:w="3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F162EC" w14:textId="77777777" w:rsidR="008C28DB" w:rsidRPr="008C28DB" w:rsidRDefault="008C28DB" w:rsidP="00AA092A">
            <w:pPr>
              <w:rPr>
                <w:sz w:val="20"/>
                <w:szCs w:val="20"/>
              </w:rPr>
            </w:pPr>
            <w:r w:rsidRPr="008C28DB">
              <w:rPr>
                <w:sz w:val="20"/>
                <w:szCs w:val="20"/>
              </w:rPr>
              <w:t>831 therms</w:t>
            </w:r>
          </w:p>
        </w:tc>
        <w:tc>
          <w:tcPr>
            <w:tcW w:w="3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6CC284" w14:textId="77777777" w:rsidR="008C28DB" w:rsidRPr="008C28DB" w:rsidRDefault="008C28DB" w:rsidP="00AA092A">
            <w:pPr>
              <w:rPr>
                <w:sz w:val="20"/>
                <w:szCs w:val="20"/>
              </w:rPr>
            </w:pPr>
            <w:r w:rsidRPr="008C28DB">
              <w:rPr>
                <w:sz w:val="20"/>
                <w:szCs w:val="20"/>
              </w:rPr>
              <w:t>682 therms</w:t>
            </w:r>
          </w:p>
        </w:tc>
      </w:tr>
      <w:tr w:rsidR="008C28DB" w:rsidRPr="008C28DB" w14:paraId="63A165E6" w14:textId="77777777" w:rsidTr="00AA092A">
        <w:trPr>
          <w:trHeight w:val="286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27C45" w14:textId="77777777" w:rsidR="008C28DB" w:rsidRPr="008C28DB" w:rsidRDefault="008C28DB" w:rsidP="00AA092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4632B7" w14:textId="77777777" w:rsidR="008C28DB" w:rsidRPr="008C28DB" w:rsidRDefault="008C28DB" w:rsidP="00AA092A">
            <w:pPr>
              <w:rPr>
                <w:sz w:val="20"/>
                <w:szCs w:val="20"/>
              </w:rPr>
            </w:pPr>
            <w:r w:rsidRPr="008C28DB">
              <w:rPr>
                <w:sz w:val="20"/>
                <w:szCs w:val="20"/>
              </w:rPr>
              <w:t>20% less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4738B" w14:textId="77777777" w:rsidR="008C28DB" w:rsidRPr="008C28DB" w:rsidRDefault="008C28DB" w:rsidP="00AA092A">
            <w:pPr>
              <w:rPr>
                <w:sz w:val="20"/>
                <w:szCs w:val="20"/>
              </w:rPr>
            </w:pPr>
            <w:r w:rsidRPr="008C28DB">
              <w:rPr>
                <w:sz w:val="20"/>
                <w:szCs w:val="20"/>
              </w:rPr>
              <w:t>34% lower</w:t>
            </w:r>
          </w:p>
        </w:tc>
      </w:tr>
    </w:tbl>
    <w:p w14:paraId="41CF108E" w14:textId="77777777" w:rsidR="008C28DB" w:rsidRDefault="008C28DB" w:rsidP="008C28DB"/>
    <w:p w14:paraId="6CF9611B" w14:textId="360F41D2" w:rsidR="00B00963" w:rsidRDefault="00B00963"/>
    <w:p w14:paraId="025CD642" w14:textId="3E7F4B38" w:rsidR="00B00963" w:rsidRDefault="00072B46">
      <w:r>
        <w:t>Figure</w:t>
      </w:r>
      <w:r w:rsidR="00B00963">
        <w:t xml:space="preserve"> </w:t>
      </w:r>
      <w:r w:rsidR="008C28DB">
        <w:t>3</w:t>
      </w:r>
      <w:r w:rsidR="00B00963">
        <w:t xml:space="preserve">:  Lighting </w:t>
      </w:r>
      <w:r>
        <w:t>Result</w:t>
      </w:r>
      <w:r w:rsidR="00B00963">
        <w:t xml:space="preserve"> Lower</w:t>
      </w:r>
    </w:p>
    <w:p w14:paraId="290407DF" w14:textId="6217C67D" w:rsidR="00B00963" w:rsidRDefault="00B00963">
      <w:r w:rsidRPr="00B00963">
        <w:rPr>
          <w:noProof/>
        </w:rPr>
        <w:drawing>
          <wp:inline distT="0" distB="0" distL="0" distR="0" wp14:anchorId="02616DE9" wp14:editId="76FCC848">
            <wp:extent cx="4549775" cy="1380487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868" cy="138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F0C78" w14:textId="10029132" w:rsidR="007A7E63" w:rsidRDefault="007A7E63" w:rsidP="007A7E63">
      <w:pPr>
        <w:tabs>
          <w:tab w:val="num" w:pos="720"/>
        </w:tabs>
      </w:pPr>
      <w:r>
        <w:t xml:space="preserve">The lighting results in Figure 3 </w:t>
      </w:r>
      <w:r w:rsidR="00072B46">
        <w:t>mirror</w:t>
      </w:r>
      <w:r>
        <w:t xml:space="preserve"> the results from the </w:t>
      </w:r>
      <w:r w:rsidR="00B00963" w:rsidRPr="00B00963">
        <w:t>R1603 results</w:t>
      </w:r>
      <w:r>
        <w:t xml:space="preserve"> (</w:t>
      </w:r>
      <w:r w:rsidR="00072B46">
        <w:t>previous</w:t>
      </w:r>
      <w:r>
        <w:t xml:space="preserve"> HES &amp; HES-IE </w:t>
      </w:r>
      <w:r w:rsidR="00072B46">
        <w:t>impact</w:t>
      </w:r>
      <w:r>
        <w:t xml:space="preserve"> evaluation / Westhill), and mirror </w:t>
      </w:r>
      <w:r w:rsidR="00B00963" w:rsidRPr="00B00963">
        <w:t>Rhode Island EWSF (15-19 kWh)</w:t>
      </w:r>
      <w:r>
        <w:t xml:space="preserve"> and </w:t>
      </w:r>
      <w:r w:rsidR="00B00963" w:rsidRPr="00B00963">
        <w:t>Rhode Island IESF (18 kWh)</w:t>
      </w:r>
      <w:r>
        <w:t xml:space="preserve">. </w:t>
      </w:r>
      <w:r w:rsidR="006D5E78">
        <w:t xml:space="preserve"> </w:t>
      </w:r>
      <w:r w:rsidR="00A33929">
        <w:t>The values in the table above, because they result from a billing analysis, should be interpreted as net savings.</w:t>
      </w:r>
    </w:p>
    <w:p w14:paraId="5C1B10C1" w14:textId="155EA3E4" w:rsidR="008C28DB" w:rsidRDefault="008C28DB" w:rsidP="008C28DB">
      <w:pPr>
        <w:tabs>
          <w:tab w:val="num" w:pos="720"/>
        </w:tabs>
      </w:pPr>
    </w:p>
    <w:p w14:paraId="6AC22B41" w14:textId="164D0892" w:rsidR="008C28DB" w:rsidRDefault="007A7E63" w:rsidP="008C28DB">
      <w:pPr>
        <w:tabs>
          <w:tab w:val="num" w:pos="720"/>
        </w:tabs>
      </w:pPr>
      <w:r>
        <w:t>Other results include:</w:t>
      </w:r>
    </w:p>
    <w:p w14:paraId="244E764C" w14:textId="19761FFA" w:rsidR="007A7E63" w:rsidRDefault="007A7E63" w:rsidP="007A7E63">
      <w:pPr>
        <w:pStyle w:val="ListParagraph"/>
        <w:numPr>
          <w:ilvl w:val="0"/>
          <w:numId w:val="25"/>
        </w:numPr>
        <w:tabs>
          <w:tab w:val="num" w:pos="720"/>
        </w:tabs>
      </w:pPr>
      <w:r>
        <w:t xml:space="preserve">Duct sealing: </w:t>
      </w:r>
      <w:r w:rsidR="00A81662">
        <w:t xml:space="preserve">9 </w:t>
      </w:r>
      <w:r>
        <w:t xml:space="preserve">therms / participant for the 38% of HES </w:t>
      </w:r>
      <w:r w:rsidR="00072B46">
        <w:t>participants</w:t>
      </w:r>
      <w:r>
        <w:t xml:space="preserve"> that receive the measure.</w:t>
      </w:r>
    </w:p>
    <w:p w14:paraId="74428F32" w14:textId="3B83E356" w:rsidR="007A7E63" w:rsidRDefault="00072B46" w:rsidP="007A7E63">
      <w:pPr>
        <w:pStyle w:val="ListParagraph"/>
        <w:numPr>
          <w:ilvl w:val="0"/>
          <w:numId w:val="25"/>
        </w:numPr>
        <w:tabs>
          <w:tab w:val="num" w:pos="720"/>
        </w:tabs>
      </w:pPr>
      <w:r>
        <w:t>Smart</w:t>
      </w:r>
      <w:r w:rsidR="007A7E63">
        <w:t xml:space="preserve"> thermostats found a 60% </w:t>
      </w:r>
      <w:r>
        <w:t>realization</w:t>
      </w:r>
      <w:r w:rsidR="007A7E63">
        <w:t xml:space="preserve"> rate.  NMR recommends updating </w:t>
      </w:r>
      <w:r>
        <w:t>the</w:t>
      </w:r>
      <w:r w:rsidR="007A7E63">
        <w:t xml:space="preserve"> heating load impact value (</w:t>
      </w:r>
      <w:r>
        <w:t>existing</w:t>
      </w:r>
      <w:r w:rsidR="007A7E63">
        <w:t xml:space="preserve"> va</w:t>
      </w:r>
      <w:r>
        <w:t>lu</w:t>
      </w:r>
      <w:r w:rsidR="007A7E63">
        <w:t>e is 2012 vintage).  This reduction is driven by the reduction in pre-program usage.</w:t>
      </w:r>
    </w:p>
    <w:p w14:paraId="66834098" w14:textId="7CF15D59" w:rsidR="007A7E63" w:rsidRDefault="007A7E63" w:rsidP="007A7E63">
      <w:pPr>
        <w:pStyle w:val="ListParagraph"/>
        <w:numPr>
          <w:ilvl w:val="0"/>
          <w:numId w:val="25"/>
        </w:numPr>
        <w:tabs>
          <w:tab w:val="num" w:pos="720"/>
        </w:tabs>
      </w:pPr>
      <w:r>
        <w:t xml:space="preserve">Many </w:t>
      </w:r>
      <w:r w:rsidR="00072B46">
        <w:t>other</w:t>
      </w:r>
      <w:r>
        <w:t xml:space="preserve"> appliances and DHW </w:t>
      </w:r>
      <w:r w:rsidR="00072B46">
        <w:t>measures</w:t>
      </w:r>
      <w:r>
        <w:t xml:space="preserve"> (except </w:t>
      </w:r>
      <w:r w:rsidR="00072B46">
        <w:t>dehumidifiers</w:t>
      </w:r>
      <w:r>
        <w:t xml:space="preserve">) show gross realization rates of about 100%. </w:t>
      </w:r>
    </w:p>
    <w:p w14:paraId="31CFC5D7" w14:textId="77777777" w:rsidR="007A7E63" w:rsidRPr="00B00963" w:rsidRDefault="007A7E63" w:rsidP="008C28DB">
      <w:pPr>
        <w:tabs>
          <w:tab w:val="num" w:pos="720"/>
        </w:tabs>
      </w:pPr>
    </w:p>
    <w:p w14:paraId="2802CF25" w14:textId="0ED1761E" w:rsidR="00D22F5E" w:rsidRDefault="00D22F5E"/>
    <w:p w14:paraId="08426591" w14:textId="77777777" w:rsidR="00D22F5E" w:rsidRDefault="00D22F5E">
      <w:pPr>
        <w:sectPr w:rsidR="00D22F5E"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AD0ECE" w14:textId="6196E78C" w:rsidR="00D22F5E" w:rsidRDefault="00D22F5E">
      <w:r>
        <w:t xml:space="preserve">Figure </w:t>
      </w:r>
      <w:r w:rsidR="007A7E63">
        <w:t>4</w:t>
      </w:r>
      <w:r>
        <w:t>: Per Unit Gross Savings (NMR 2022)</w:t>
      </w:r>
    </w:p>
    <w:p w14:paraId="56D2E6CA" w14:textId="50C6428E" w:rsidR="00D22F5E" w:rsidRDefault="00D22F5E">
      <w:r w:rsidRPr="00D22F5E">
        <w:rPr>
          <w:noProof/>
        </w:rPr>
        <w:drawing>
          <wp:inline distT="0" distB="0" distL="0" distR="0" wp14:anchorId="3D53C824" wp14:editId="254C0D43">
            <wp:extent cx="8229600" cy="34467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6CED7" w14:textId="77777777" w:rsidR="00D22F5E" w:rsidRDefault="00D22F5E"/>
    <w:p w14:paraId="6F6703A8" w14:textId="77777777" w:rsidR="00D22F5E" w:rsidRDefault="00D22F5E"/>
    <w:p w14:paraId="62A6988B" w14:textId="2C36F938" w:rsidR="00D22F5E" w:rsidRDefault="00D22F5E"/>
    <w:p w14:paraId="5403A253" w14:textId="2A7720D9" w:rsidR="00D22F5E" w:rsidRDefault="00D22F5E"/>
    <w:p w14:paraId="3733DE61" w14:textId="5BE6F5E5" w:rsidR="00D22F5E" w:rsidRDefault="00D22F5E"/>
    <w:p w14:paraId="4674370B" w14:textId="73708D90" w:rsidR="00D22F5E" w:rsidRDefault="00D22F5E"/>
    <w:p w14:paraId="3FF3D515" w14:textId="77777777" w:rsidR="00D22F5E" w:rsidRDefault="00D22F5E"/>
    <w:sectPr w:rsidR="00D22F5E" w:rsidSect="00D22F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4323" w14:textId="77777777" w:rsidR="00262DE5" w:rsidRDefault="00262DE5" w:rsidP="00072B46">
      <w:r>
        <w:separator/>
      </w:r>
    </w:p>
  </w:endnote>
  <w:endnote w:type="continuationSeparator" w:id="0">
    <w:p w14:paraId="5AA33B84" w14:textId="77777777" w:rsidR="00262DE5" w:rsidRDefault="00262DE5" w:rsidP="0007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7333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19DB10" w14:textId="7DA8FEC5" w:rsidR="00072B46" w:rsidRDefault="00072B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351C74" w14:textId="77777777" w:rsidR="00072B46" w:rsidRDefault="00072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07EC3" w14:textId="77777777" w:rsidR="00262DE5" w:rsidRDefault="00262DE5" w:rsidP="00072B46">
      <w:r>
        <w:separator/>
      </w:r>
    </w:p>
  </w:footnote>
  <w:footnote w:type="continuationSeparator" w:id="0">
    <w:p w14:paraId="5D91A885" w14:textId="77777777" w:rsidR="00262DE5" w:rsidRDefault="00262DE5" w:rsidP="00072B46">
      <w:r>
        <w:continuationSeparator/>
      </w:r>
    </w:p>
  </w:footnote>
  <w:footnote w:id="1">
    <w:p w14:paraId="4530DB7E" w14:textId="4AA3C43A" w:rsidR="00C22D8A" w:rsidRDefault="00C22D8A">
      <w:pPr>
        <w:pStyle w:val="FootnoteText"/>
      </w:pPr>
      <w:r>
        <w:rPr>
          <w:rStyle w:val="FootnoteReference"/>
        </w:rPr>
        <w:footnoteRef/>
      </w:r>
      <w:r>
        <w:t xml:space="preserve"> Note </w:t>
      </w:r>
      <w:r w:rsidR="00750C58">
        <w:t xml:space="preserve">that </w:t>
      </w:r>
      <w:r>
        <w:t xml:space="preserve">Figure 1 presents </w:t>
      </w:r>
      <w:r w:rsidR="00750C58">
        <w:t>savings in therms/year (which enabled our team to directly R1983 results to benchmarked evaluations that also used therms), whereas Figure 4 below presents savings in CCF/year (which is consistent with the Program Savings Document).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617056"/>
    <w:multiLevelType w:val="hybridMultilevel"/>
    <w:tmpl w:val="CA7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2968AE"/>
    <w:multiLevelType w:val="hybridMultilevel"/>
    <w:tmpl w:val="716A4E78"/>
    <w:lvl w:ilvl="0" w:tplc="CBD68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9888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62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E06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EE08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4D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3824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C1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3AC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04600639">
    <w:abstractNumId w:val="21"/>
  </w:num>
  <w:num w:numId="2" w16cid:durableId="1254625408">
    <w:abstractNumId w:val="12"/>
  </w:num>
  <w:num w:numId="3" w16cid:durableId="97721405">
    <w:abstractNumId w:val="10"/>
  </w:num>
  <w:num w:numId="4" w16cid:durableId="1039204456">
    <w:abstractNumId w:val="23"/>
  </w:num>
  <w:num w:numId="5" w16cid:durableId="1833637373">
    <w:abstractNumId w:val="14"/>
  </w:num>
  <w:num w:numId="6" w16cid:durableId="1505781460">
    <w:abstractNumId w:val="18"/>
  </w:num>
  <w:num w:numId="7" w16cid:durableId="341710385">
    <w:abstractNumId w:val="20"/>
  </w:num>
  <w:num w:numId="8" w16cid:durableId="1433163606">
    <w:abstractNumId w:val="9"/>
  </w:num>
  <w:num w:numId="9" w16cid:durableId="1427189203">
    <w:abstractNumId w:val="7"/>
  </w:num>
  <w:num w:numId="10" w16cid:durableId="196045126">
    <w:abstractNumId w:val="6"/>
  </w:num>
  <w:num w:numId="11" w16cid:durableId="557280978">
    <w:abstractNumId w:val="5"/>
  </w:num>
  <w:num w:numId="12" w16cid:durableId="322660076">
    <w:abstractNumId w:val="4"/>
  </w:num>
  <w:num w:numId="13" w16cid:durableId="879824779">
    <w:abstractNumId w:val="8"/>
  </w:num>
  <w:num w:numId="14" w16cid:durableId="269093120">
    <w:abstractNumId w:val="3"/>
  </w:num>
  <w:num w:numId="15" w16cid:durableId="2090998213">
    <w:abstractNumId w:val="2"/>
  </w:num>
  <w:num w:numId="16" w16cid:durableId="287973342">
    <w:abstractNumId w:val="1"/>
  </w:num>
  <w:num w:numId="17" w16cid:durableId="1286735647">
    <w:abstractNumId w:val="0"/>
  </w:num>
  <w:num w:numId="18" w16cid:durableId="551238534">
    <w:abstractNumId w:val="16"/>
  </w:num>
  <w:num w:numId="19" w16cid:durableId="874272904">
    <w:abstractNumId w:val="17"/>
  </w:num>
  <w:num w:numId="20" w16cid:durableId="969870256">
    <w:abstractNumId w:val="22"/>
  </w:num>
  <w:num w:numId="21" w16cid:durableId="971786443">
    <w:abstractNumId w:val="19"/>
  </w:num>
  <w:num w:numId="22" w16cid:durableId="2026443967">
    <w:abstractNumId w:val="11"/>
  </w:num>
  <w:num w:numId="23" w16cid:durableId="1769352518">
    <w:abstractNumId w:val="24"/>
  </w:num>
  <w:num w:numId="24" w16cid:durableId="181168777">
    <w:abstractNumId w:val="15"/>
  </w:num>
  <w:num w:numId="25" w16cid:durableId="983318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5E"/>
    <w:rsid w:val="00072B46"/>
    <w:rsid w:val="001E2723"/>
    <w:rsid w:val="00262DE5"/>
    <w:rsid w:val="002D2EAF"/>
    <w:rsid w:val="0038228B"/>
    <w:rsid w:val="00516F6A"/>
    <w:rsid w:val="005D4B26"/>
    <w:rsid w:val="00645252"/>
    <w:rsid w:val="006D3D74"/>
    <w:rsid w:val="006D5E78"/>
    <w:rsid w:val="00740D79"/>
    <w:rsid w:val="00750C58"/>
    <w:rsid w:val="007A7E63"/>
    <w:rsid w:val="007D1230"/>
    <w:rsid w:val="0083569A"/>
    <w:rsid w:val="008C28DB"/>
    <w:rsid w:val="00933336"/>
    <w:rsid w:val="009A2C37"/>
    <w:rsid w:val="009C4024"/>
    <w:rsid w:val="00A33929"/>
    <w:rsid w:val="00A81662"/>
    <w:rsid w:val="00A9204E"/>
    <w:rsid w:val="00B00963"/>
    <w:rsid w:val="00B71CC9"/>
    <w:rsid w:val="00C22D8A"/>
    <w:rsid w:val="00CD189A"/>
    <w:rsid w:val="00D22F5E"/>
    <w:rsid w:val="00E3517A"/>
    <w:rsid w:val="00F82302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1540"/>
  <w15:chartTrackingRefBased/>
  <w15:docId w15:val="{5E02B592-32E6-40E9-BE5C-5E4B280F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7A7E63"/>
    <w:pPr>
      <w:ind w:left="720"/>
      <w:contextualSpacing/>
    </w:pPr>
  </w:style>
  <w:style w:type="paragraph" w:styleId="Revision">
    <w:name w:val="Revision"/>
    <w:hidden/>
    <w:uiPriority w:val="99"/>
    <w:semiHidden/>
    <w:rsid w:val="001E2723"/>
  </w:style>
  <w:style w:type="character" w:styleId="FootnoteReference">
    <w:name w:val="footnote reference"/>
    <w:basedOn w:val="DefaultParagraphFont"/>
    <w:uiPriority w:val="99"/>
    <w:semiHidden/>
    <w:unhideWhenUsed/>
    <w:rsid w:val="00C22D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umatz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07D11-859F-47F6-803D-4C6D81C648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Skumatz</dc:creator>
  <cp:keywords/>
  <dc:description/>
  <cp:lastModifiedBy>Lisa Skumatz</cp:lastModifiedBy>
  <cp:revision>3</cp:revision>
  <dcterms:created xsi:type="dcterms:W3CDTF">2022-09-16T21:19:00Z</dcterms:created>
  <dcterms:modified xsi:type="dcterms:W3CDTF">2022-09-16T21:20:00Z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